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8074B1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АРБИТРАЖНЫЙ ПРОЦЕСС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163C9C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Конституция Российской Федерации 1993 г.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Гражданский процессуальный кодекс Российской Федерации от 14 ноября 2002 г. № 138-ФЗ (с последующими изменениями и дополнениями)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Федеральный конституционный закон от 31 декабря 1996 г.  «О судебной системе Российской Федерации» (с последующими изменениями и дополнениями)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Федеральный конституционный закон «О судах общей юрисдикции в Российской Федерации» от 7 февраля 2011 года N 1-ФКЗ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Закон Российской Федерации от 26 июня 1992 г. «О статусе судей в Российской Федерации</w:t>
      </w:r>
      <w:r w:rsidRPr="00347C65">
        <w:rPr>
          <w:sz w:val="28"/>
        </w:rPr>
        <w:t>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Федеральный закон от 17 декабря 1998 года N 188-ФЗ «О мировых судьях в Российской Федерации»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 xml:space="preserve">Федеральный закон от 31 мая 2002 г. № 63-ФЗ «Об адвокатской деятельности и адвокатуре в Российской Федерации» (с последующими изменениями и дополнениями)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10 октября 2003 г. № 5 «О применении судами общей юрисдикции общепризнанных принципов и норм международного права и международных договоров Российской Федерации»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19 декабря 2003 г. № 23 «О судебном решении»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июня 2008 г. № 13 «О применении норм Гражданского процессуального кодекса Российской Федерации при рассмотрении и разрешении дел в суде первой инстанции»</w:t>
      </w:r>
    </w:p>
    <w:p w:rsidR="00AE4E9D" w:rsidRPr="00163C9C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декабря 2017 г. № 57 «О некоторых вопросах применения законодательства, регулирующего использование документов в электронном виде в деятельности судов общей юрисдикции и арбитражных судов»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2D3D8B" w:rsidRDefault="00163C9C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12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8074B1" w:rsidRPr="008074B1">
        <w:rPr>
          <w:bCs/>
          <w:iCs/>
          <w:color w:val="000000"/>
          <w:sz w:val="28"/>
          <w:szCs w:val="28"/>
        </w:rPr>
        <w:t xml:space="preserve">Власов, А. А.  Арбитражный </w:t>
      </w:r>
      <w:proofErr w:type="gramStart"/>
      <w:r w:rsidR="008074B1" w:rsidRPr="008074B1">
        <w:rPr>
          <w:bCs/>
          <w:iCs/>
          <w:color w:val="000000"/>
          <w:sz w:val="28"/>
          <w:szCs w:val="28"/>
        </w:rPr>
        <w:t>процесс :</w:t>
      </w:r>
      <w:proofErr w:type="gramEnd"/>
      <w:r w:rsidR="008074B1" w:rsidRPr="008074B1">
        <w:rPr>
          <w:bCs/>
          <w:iCs/>
          <w:color w:val="000000"/>
          <w:sz w:val="28"/>
          <w:szCs w:val="28"/>
        </w:rPr>
        <w:t xml:space="preserve"> учебник для вузов / А. А. Власов. — 2-е изд., </w:t>
      </w:r>
      <w:proofErr w:type="spellStart"/>
      <w:r w:rsidR="008074B1" w:rsidRPr="008074B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8074B1" w:rsidRPr="008074B1">
        <w:rPr>
          <w:bCs/>
          <w:iCs/>
          <w:color w:val="000000"/>
          <w:sz w:val="28"/>
          <w:szCs w:val="28"/>
        </w:rPr>
        <w:t>. и</w:t>
      </w:r>
      <w:proofErr w:type="gramEnd"/>
      <w:r w:rsidR="008074B1" w:rsidRPr="008074B1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="008074B1" w:rsidRPr="008074B1">
        <w:rPr>
          <w:bCs/>
          <w:iCs/>
          <w:color w:val="000000"/>
          <w:sz w:val="28"/>
          <w:szCs w:val="28"/>
        </w:rPr>
        <w:t>Юрайт</w:t>
      </w:r>
      <w:proofErr w:type="spellEnd"/>
      <w:r w:rsidR="008074B1" w:rsidRPr="008074B1">
        <w:rPr>
          <w:bCs/>
          <w:iCs/>
          <w:color w:val="000000"/>
          <w:sz w:val="28"/>
          <w:szCs w:val="28"/>
        </w:rPr>
        <w:t xml:space="preserve">, 2024. — 337 с.— URL: </w:t>
      </w:r>
      <w:hyperlink r:id="rId7" w:history="1">
        <w:r w:rsidR="008074B1" w:rsidRPr="008074B1">
          <w:rPr>
            <w:rStyle w:val="ab"/>
            <w:bCs/>
            <w:iCs/>
            <w:sz w:val="28"/>
            <w:szCs w:val="28"/>
          </w:rPr>
          <w:t>https://urait.ru/bcode/539043</w:t>
        </w:r>
      </w:hyperlink>
      <w:r w:rsidR="00647920" w:rsidRPr="00647920">
        <w:rPr>
          <w:bCs/>
          <w:iCs/>
          <w:color w:val="000000"/>
          <w:sz w:val="28"/>
          <w:szCs w:val="28"/>
        </w:rPr>
        <w:t xml:space="preserve">    </w:t>
      </w:r>
      <w:r w:rsidR="002D3D8B" w:rsidRPr="002D3D8B">
        <w:rPr>
          <w:bCs/>
          <w:iCs/>
          <w:color w:val="000000"/>
          <w:sz w:val="28"/>
          <w:szCs w:val="28"/>
        </w:rPr>
        <w:t xml:space="preserve"> </w:t>
      </w:r>
    </w:p>
    <w:p w:rsidR="006C6727" w:rsidRPr="006C6727" w:rsidRDefault="006C6727" w:rsidP="00AE4E9D">
      <w:pPr>
        <w:pStyle w:val="a5"/>
        <w:spacing w:after="0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647920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13</w:t>
      </w:r>
      <w:r w:rsidR="006C6727">
        <w:rPr>
          <w:color w:val="000000"/>
          <w:sz w:val="28"/>
          <w:szCs w:val="28"/>
        </w:rPr>
        <w:t xml:space="preserve">. </w:t>
      </w:r>
      <w:r w:rsidR="008074B1" w:rsidRPr="008074B1">
        <w:rPr>
          <w:bCs/>
          <w:iCs/>
          <w:color w:val="000000"/>
          <w:sz w:val="28"/>
          <w:szCs w:val="28"/>
        </w:rPr>
        <w:t xml:space="preserve">Арбитражный </w:t>
      </w:r>
      <w:proofErr w:type="gramStart"/>
      <w:r w:rsidR="008074B1" w:rsidRPr="008074B1">
        <w:rPr>
          <w:bCs/>
          <w:iCs/>
          <w:color w:val="000000"/>
          <w:sz w:val="28"/>
          <w:szCs w:val="28"/>
        </w:rPr>
        <w:t>процесс :</w:t>
      </w:r>
      <w:proofErr w:type="gramEnd"/>
      <w:r w:rsidR="008074B1" w:rsidRPr="008074B1">
        <w:rPr>
          <w:bCs/>
          <w:iCs/>
          <w:color w:val="000000"/>
          <w:sz w:val="28"/>
          <w:szCs w:val="28"/>
        </w:rPr>
        <w:t xml:space="preserve"> учебник / отв. ред. В. В. Ярков. - 8-е изд., </w:t>
      </w:r>
      <w:proofErr w:type="spellStart"/>
      <w:r w:rsidR="008074B1" w:rsidRPr="008074B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8074B1" w:rsidRPr="008074B1">
        <w:rPr>
          <w:bCs/>
          <w:iCs/>
          <w:color w:val="000000"/>
          <w:sz w:val="28"/>
          <w:szCs w:val="28"/>
        </w:rPr>
        <w:t>. и</w:t>
      </w:r>
      <w:proofErr w:type="gramEnd"/>
      <w:r w:rsidR="008074B1" w:rsidRPr="008074B1">
        <w:rPr>
          <w:bCs/>
          <w:iCs/>
          <w:color w:val="000000"/>
          <w:sz w:val="28"/>
          <w:szCs w:val="28"/>
        </w:rPr>
        <w:t xml:space="preserve"> доп. - Москва : Статут, 2021. - 752 с. - URL: </w:t>
      </w:r>
      <w:hyperlink r:id="rId8" w:history="1">
        <w:r w:rsidR="008074B1" w:rsidRPr="008074B1">
          <w:rPr>
            <w:rStyle w:val="ab"/>
            <w:bCs/>
            <w:iCs/>
            <w:sz w:val="28"/>
            <w:szCs w:val="28"/>
          </w:rPr>
          <w:t>https://znanium.com/catalog/product/1859243</w:t>
        </w:r>
      </w:hyperlink>
    </w:p>
    <w:p w:rsidR="00AE4E9D" w:rsidRDefault="002D3D8B" w:rsidP="008074B1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bookmarkStart w:id="1" w:name="_GoBack"/>
      <w:bookmarkEnd w:id="1"/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2" w:name="_bookmark14"/>
      <w:bookmarkEnd w:id="2"/>
      <w:r w:rsidRPr="009A08DC">
        <w:rPr>
          <w:color w:val="000000"/>
          <w:sz w:val="28"/>
          <w:szCs w:val="28"/>
        </w:rPr>
        <w:lastRenderedPageBreak/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9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8074B1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B5DB2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074B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B5DB2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074B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B5DB2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8074B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B5DB2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2D3D8B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2D3D8B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2D3D8B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2D3D8B">
        <w:rPr>
          <w:bCs/>
          <w:color w:val="000000" w:themeColor="text1"/>
          <w:sz w:val="28"/>
          <w:szCs w:val="28"/>
        </w:rPr>
        <w:t>.</w:t>
      </w:r>
    </w:p>
    <w:p w:rsidR="006C6727" w:rsidRPr="002D3D8B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2D3D8B">
        <w:rPr>
          <w:color w:val="000000" w:themeColor="text1"/>
          <w:sz w:val="28"/>
          <w:szCs w:val="28"/>
        </w:rPr>
        <w:t xml:space="preserve">    2</w:t>
      </w:r>
      <w:r w:rsidRPr="002D3D8B">
        <w:rPr>
          <w:color w:val="000000" w:themeColor="text1"/>
        </w:rPr>
        <w:t>.</w:t>
      </w:r>
      <w:r w:rsidRPr="002D3D8B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2D3D8B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sectPr w:rsidR="00D10F27" w:rsidSect="00DA7161">
      <w:footerReference w:type="defaul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DB2" w:rsidRDefault="00DB5DB2">
      <w:r>
        <w:separator/>
      </w:r>
    </w:p>
  </w:endnote>
  <w:endnote w:type="continuationSeparator" w:id="0">
    <w:p w:rsidR="00DB5DB2" w:rsidRDefault="00DB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74B1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74B1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DB2" w:rsidRDefault="00DB5DB2">
      <w:r>
        <w:separator/>
      </w:r>
    </w:p>
  </w:footnote>
  <w:footnote w:type="continuationSeparator" w:id="0">
    <w:p w:rsidR="00DB5DB2" w:rsidRDefault="00DB5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B54BB"/>
    <w:multiLevelType w:val="hybridMultilevel"/>
    <w:tmpl w:val="A73E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0D0304"/>
    <w:rsid w:val="00110F28"/>
    <w:rsid w:val="00163C9C"/>
    <w:rsid w:val="00226C55"/>
    <w:rsid w:val="002821F0"/>
    <w:rsid w:val="002C0DB4"/>
    <w:rsid w:val="002D3D8B"/>
    <w:rsid w:val="00356F32"/>
    <w:rsid w:val="003D3F16"/>
    <w:rsid w:val="00451ADB"/>
    <w:rsid w:val="00453190"/>
    <w:rsid w:val="004E0E36"/>
    <w:rsid w:val="00544B9B"/>
    <w:rsid w:val="00555FE7"/>
    <w:rsid w:val="00565AC8"/>
    <w:rsid w:val="005C5B32"/>
    <w:rsid w:val="00614BD9"/>
    <w:rsid w:val="00647920"/>
    <w:rsid w:val="00667F42"/>
    <w:rsid w:val="006C6727"/>
    <w:rsid w:val="00740B3C"/>
    <w:rsid w:val="007B248D"/>
    <w:rsid w:val="007C3622"/>
    <w:rsid w:val="008074B1"/>
    <w:rsid w:val="00823869"/>
    <w:rsid w:val="008320AC"/>
    <w:rsid w:val="00871D97"/>
    <w:rsid w:val="008C397E"/>
    <w:rsid w:val="009412AF"/>
    <w:rsid w:val="00952181"/>
    <w:rsid w:val="00A948CD"/>
    <w:rsid w:val="00AA7908"/>
    <w:rsid w:val="00AD4C53"/>
    <w:rsid w:val="00AE4E9D"/>
    <w:rsid w:val="00B15E20"/>
    <w:rsid w:val="00C67DD7"/>
    <w:rsid w:val="00C95A2B"/>
    <w:rsid w:val="00D10F27"/>
    <w:rsid w:val="00D56474"/>
    <w:rsid w:val="00DA7161"/>
    <w:rsid w:val="00DB5DB2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59243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904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nivers.alpinadigita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18</cp:revision>
  <dcterms:created xsi:type="dcterms:W3CDTF">2024-09-27T08:57:00Z</dcterms:created>
  <dcterms:modified xsi:type="dcterms:W3CDTF">2025-09-16T08:52:00Z</dcterms:modified>
</cp:coreProperties>
</file>